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9A7E4" w14:textId="04F4CB95" w:rsidR="005064C1" w:rsidRPr="001D6A46" w:rsidRDefault="001D6A46">
      <w:pPr>
        <w:rPr>
          <w:rFonts w:ascii="Calibri" w:hAnsi="Calibri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  <w:lang w:val="en-US"/>
        </w:rPr>
        <w:t xml:space="preserve">Brief </w:t>
      </w:r>
      <w:r w:rsidR="00CE0E83">
        <w:rPr>
          <w:rFonts w:ascii="Calibri" w:hAnsi="Calibri"/>
          <w:b/>
          <w:sz w:val="32"/>
          <w:szCs w:val="32"/>
          <w:lang w:val="en-US"/>
        </w:rPr>
        <w:t>s</w:t>
      </w:r>
      <w:r w:rsidR="00B01B4A" w:rsidRPr="001D6A46">
        <w:rPr>
          <w:rFonts w:ascii="Calibri" w:hAnsi="Calibri"/>
          <w:b/>
          <w:sz w:val="32"/>
          <w:szCs w:val="32"/>
          <w:lang w:val="en-US"/>
        </w:rPr>
        <w:t>urvey amongst freelance members on source and type of regulatory work</w:t>
      </w:r>
      <w:r>
        <w:rPr>
          <w:rFonts w:ascii="Calibri" w:hAnsi="Calibri"/>
          <w:b/>
          <w:sz w:val="32"/>
          <w:szCs w:val="32"/>
          <w:lang w:val="en-US"/>
        </w:rPr>
        <w:t xml:space="preserve"> (Q3 2014)</w:t>
      </w:r>
    </w:p>
    <w:p w14:paraId="5DAA918B" w14:textId="77777777" w:rsidR="00B01B4A" w:rsidRPr="001D6A46" w:rsidRDefault="00B01B4A">
      <w:pPr>
        <w:rPr>
          <w:rFonts w:ascii="Calibri" w:hAnsi="Calibri"/>
          <w:sz w:val="24"/>
          <w:szCs w:val="24"/>
          <w:lang w:val="en-US"/>
        </w:rPr>
      </w:pPr>
    </w:p>
    <w:p w14:paraId="739E78C7" w14:textId="77777777" w:rsidR="00B01B4A" w:rsidRPr="001D6A46" w:rsidRDefault="00B01B4A">
      <w:pPr>
        <w:rPr>
          <w:rFonts w:ascii="Calibri" w:hAnsi="Calibri"/>
          <w:b/>
          <w:sz w:val="28"/>
          <w:szCs w:val="28"/>
          <w:lang w:val="en-US"/>
        </w:rPr>
      </w:pPr>
      <w:r w:rsidRPr="001D6A46">
        <w:rPr>
          <w:rFonts w:ascii="Calibri" w:hAnsi="Calibri"/>
          <w:b/>
          <w:sz w:val="28"/>
          <w:szCs w:val="28"/>
          <w:lang w:val="en-US"/>
        </w:rPr>
        <w:t>Introduction</w:t>
      </w:r>
    </w:p>
    <w:p w14:paraId="218C7117" w14:textId="77777777" w:rsidR="00B01B4A" w:rsidRDefault="00B01B4A">
      <w:pPr>
        <w:rPr>
          <w:rFonts w:ascii="Calibri" w:hAnsi="Calibri"/>
          <w:sz w:val="24"/>
          <w:szCs w:val="24"/>
          <w:lang w:val="en-US"/>
        </w:rPr>
      </w:pPr>
      <w:r w:rsidRPr="001D6A46">
        <w:rPr>
          <w:rFonts w:ascii="Calibri" w:hAnsi="Calibri"/>
          <w:sz w:val="24"/>
          <w:szCs w:val="24"/>
          <w:lang w:val="en-US"/>
        </w:rPr>
        <w:t>The EMWA freelance group conducted a brief survey amongst freelance EMWA members on type and source of registration documents prepared by freelancers</w:t>
      </w:r>
      <w:r w:rsidR="00CE0E83">
        <w:rPr>
          <w:rFonts w:ascii="Calibri" w:hAnsi="Calibri"/>
          <w:sz w:val="24"/>
          <w:szCs w:val="24"/>
          <w:lang w:val="en-US"/>
        </w:rPr>
        <w:t>. This was</w:t>
      </w:r>
      <w:r w:rsidRPr="001D6A46">
        <w:rPr>
          <w:rFonts w:ascii="Calibri" w:hAnsi="Calibri"/>
          <w:sz w:val="24"/>
          <w:szCs w:val="24"/>
          <w:lang w:val="en-US"/>
        </w:rPr>
        <w:t xml:space="preserve"> to establish whether it would be worth incorporating more detailed questions on this in the Freelance Business Surveys conducted every 3 years.</w:t>
      </w:r>
    </w:p>
    <w:p w14:paraId="23DB5081" w14:textId="77777777" w:rsidR="001D6A46" w:rsidRPr="001D6A46" w:rsidRDefault="001D6A46">
      <w:pPr>
        <w:rPr>
          <w:rFonts w:ascii="Calibri" w:hAnsi="Calibri"/>
          <w:sz w:val="24"/>
          <w:szCs w:val="24"/>
          <w:lang w:val="en-US"/>
        </w:rPr>
      </w:pPr>
    </w:p>
    <w:p w14:paraId="2FAC33D7" w14:textId="77777777" w:rsidR="00B01B4A" w:rsidRPr="001D6A46" w:rsidRDefault="00B01B4A">
      <w:pPr>
        <w:rPr>
          <w:rFonts w:ascii="Calibri" w:hAnsi="Calibri"/>
          <w:b/>
          <w:sz w:val="28"/>
          <w:szCs w:val="28"/>
          <w:lang w:val="en-US"/>
        </w:rPr>
      </w:pPr>
      <w:r w:rsidRPr="001D6A46">
        <w:rPr>
          <w:rFonts w:ascii="Calibri" w:hAnsi="Calibri"/>
          <w:b/>
          <w:sz w:val="28"/>
          <w:szCs w:val="28"/>
          <w:lang w:val="en-US"/>
        </w:rPr>
        <w:t>Methods</w:t>
      </w:r>
    </w:p>
    <w:p w14:paraId="7C4D83D0" w14:textId="77777777" w:rsidR="00B01B4A" w:rsidRPr="001D6A46" w:rsidRDefault="00B01B4A">
      <w:pPr>
        <w:rPr>
          <w:rFonts w:ascii="Calibri" w:hAnsi="Calibri"/>
          <w:sz w:val="24"/>
          <w:szCs w:val="24"/>
          <w:lang w:val="en-US"/>
        </w:rPr>
      </w:pPr>
      <w:r w:rsidRPr="001D6A46">
        <w:rPr>
          <w:rFonts w:ascii="Calibri" w:hAnsi="Calibri"/>
          <w:sz w:val="24"/>
          <w:szCs w:val="24"/>
          <w:lang w:val="en-US"/>
        </w:rPr>
        <w:t xml:space="preserve">Respondents were asked whether they did regulatory work, how much of their time they spent on regulatory work, </w:t>
      </w:r>
      <w:r w:rsidR="001D6A46">
        <w:rPr>
          <w:rFonts w:ascii="Calibri" w:hAnsi="Calibri"/>
          <w:sz w:val="24"/>
          <w:szCs w:val="24"/>
          <w:lang w:val="en-US"/>
        </w:rPr>
        <w:t>wh</w:t>
      </w:r>
      <w:r w:rsidRPr="001D6A46">
        <w:rPr>
          <w:rFonts w:ascii="Calibri" w:hAnsi="Calibri"/>
          <w:sz w:val="24"/>
          <w:szCs w:val="24"/>
          <w:lang w:val="en-US"/>
        </w:rPr>
        <w:t>at proportion of their work was accounted for by different groups of regulatory documents</w:t>
      </w:r>
      <w:r w:rsidR="001D6A46">
        <w:rPr>
          <w:rFonts w:ascii="Calibri" w:hAnsi="Calibri"/>
          <w:sz w:val="24"/>
          <w:szCs w:val="24"/>
          <w:lang w:val="en-US"/>
        </w:rPr>
        <w:t>, and where the work came from</w:t>
      </w:r>
      <w:r w:rsidRPr="001D6A46">
        <w:rPr>
          <w:rFonts w:ascii="Calibri" w:hAnsi="Calibri"/>
          <w:sz w:val="24"/>
          <w:szCs w:val="24"/>
          <w:lang w:val="en-US"/>
        </w:rPr>
        <w:t>.</w:t>
      </w:r>
    </w:p>
    <w:p w14:paraId="44C6B20E" w14:textId="77777777" w:rsidR="00B01B4A" w:rsidRPr="001D6A46" w:rsidRDefault="00B01B4A">
      <w:pPr>
        <w:rPr>
          <w:rFonts w:ascii="Calibri" w:hAnsi="Calibri"/>
          <w:sz w:val="24"/>
          <w:szCs w:val="24"/>
          <w:lang w:val="en-US"/>
        </w:rPr>
      </w:pPr>
    </w:p>
    <w:p w14:paraId="15A9A7B8" w14:textId="77777777" w:rsidR="00B01B4A" w:rsidRPr="001D6A46" w:rsidRDefault="00B01B4A">
      <w:pPr>
        <w:rPr>
          <w:rFonts w:ascii="Calibri" w:hAnsi="Calibri"/>
          <w:b/>
          <w:sz w:val="28"/>
          <w:szCs w:val="28"/>
          <w:lang w:val="en-US"/>
        </w:rPr>
      </w:pPr>
      <w:r w:rsidRPr="001D6A46">
        <w:rPr>
          <w:rFonts w:ascii="Calibri" w:hAnsi="Calibri"/>
          <w:b/>
          <w:sz w:val="28"/>
          <w:szCs w:val="28"/>
          <w:lang w:val="en-US"/>
        </w:rPr>
        <w:t>Results</w:t>
      </w:r>
    </w:p>
    <w:p w14:paraId="2893EF26" w14:textId="3BC8FABD" w:rsidR="00AB73A5" w:rsidRPr="001D6A46" w:rsidRDefault="00B01B4A" w:rsidP="00B01B4A">
      <w:pPr>
        <w:rPr>
          <w:rFonts w:ascii="Calibri" w:hAnsi="Calibri"/>
          <w:sz w:val="24"/>
          <w:szCs w:val="24"/>
          <w:lang w:val="en-US"/>
        </w:rPr>
      </w:pPr>
      <w:r w:rsidRPr="001D6A46">
        <w:rPr>
          <w:rFonts w:ascii="Calibri" w:hAnsi="Calibri"/>
          <w:sz w:val="24"/>
          <w:szCs w:val="24"/>
          <w:lang w:val="en-US"/>
        </w:rPr>
        <w:t xml:space="preserve">82/143 (68%) respondents do regulatory work. </w:t>
      </w:r>
      <w:r w:rsidR="001D6A46" w:rsidRPr="001D6A46">
        <w:rPr>
          <w:rFonts w:ascii="Calibri" w:hAnsi="Calibri"/>
          <w:sz w:val="24"/>
          <w:szCs w:val="24"/>
          <w:lang w:val="en-US"/>
        </w:rPr>
        <w:t xml:space="preserve">Of these, 55 </w:t>
      </w:r>
      <w:r w:rsidRPr="001D6A46">
        <w:rPr>
          <w:rFonts w:ascii="Calibri" w:hAnsi="Calibri"/>
          <w:sz w:val="24"/>
          <w:szCs w:val="24"/>
          <w:lang w:val="en-US"/>
        </w:rPr>
        <w:t xml:space="preserve">(67%) </w:t>
      </w:r>
      <w:r w:rsidR="001D6A46" w:rsidRPr="001D6A46">
        <w:rPr>
          <w:rFonts w:ascii="Calibri" w:hAnsi="Calibri"/>
          <w:sz w:val="24"/>
          <w:szCs w:val="24"/>
          <w:lang w:val="en-US"/>
        </w:rPr>
        <w:t>spend 50 to 100% of their time on regulatory documents</w:t>
      </w:r>
      <w:r w:rsidRPr="001D6A46">
        <w:rPr>
          <w:rFonts w:ascii="Calibri" w:hAnsi="Calibri"/>
          <w:sz w:val="24"/>
          <w:szCs w:val="24"/>
          <w:lang w:val="en-US"/>
        </w:rPr>
        <w:t xml:space="preserve"> (</w:t>
      </w:r>
      <w:r w:rsidR="00D81B6C" w:rsidRPr="001D6A46">
        <w:rPr>
          <w:rFonts w:ascii="Calibri" w:hAnsi="Calibri"/>
          <w:sz w:val="24"/>
          <w:szCs w:val="24"/>
          <w:lang w:val="en-US"/>
        </w:rPr>
        <w:t>100% - 8</w:t>
      </w:r>
      <w:r w:rsidR="00EB6658">
        <w:rPr>
          <w:rFonts w:ascii="Calibri" w:hAnsi="Calibri"/>
          <w:sz w:val="24"/>
          <w:szCs w:val="24"/>
          <w:lang w:val="en-US"/>
        </w:rPr>
        <w:t xml:space="preserve"> respondents</w:t>
      </w:r>
      <w:r w:rsidR="00D81B6C" w:rsidRPr="001D6A46">
        <w:rPr>
          <w:rFonts w:ascii="Calibri" w:hAnsi="Calibri"/>
          <w:sz w:val="24"/>
          <w:szCs w:val="24"/>
          <w:lang w:val="en-US"/>
        </w:rPr>
        <w:t>; 75–99% - 31; 50–74% - 17).</w:t>
      </w:r>
    </w:p>
    <w:p w14:paraId="4E4A4C36" w14:textId="77777777" w:rsidR="00D81B6C" w:rsidRPr="001D6A46" w:rsidRDefault="00D81B6C" w:rsidP="00B01B4A">
      <w:pPr>
        <w:rPr>
          <w:rFonts w:ascii="Calibri" w:hAnsi="Calibri"/>
          <w:sz w:val="24"/>
          <w:szCs w:val="24"/>
          <w:lang w:val="en-US"/>
        </w:rPr>
      </w:pPr>
    </w:p>
    <w:p w14:paraId="135A916E" w14:textId="3B36AE49" w:rsidR="00AB73A5" w:rsidRPr="001D6A46" w:rsidRDefault="00D81B6C" w:rsidP="00D81B6C">
      <w:pPr>
        <w:rPr>
          <w:rFonts w:ascii="Calibri" w:hAnsi="Calibri"/>
          <w:b/>
          <w:i/>
          <w:sz w:val="24"/>
          <w:szCs w:val="24"/>
          <w:lang w:val="en-US"/>
        </w:rPr>
      </w:pPr>
      <w:r w:rsidRPr="001D6A46">
        <w:rPr>
          <w:rFonts w:ascii="Calibri" w:hAnsi="Calibri"/>
          <w:b/>
          <w:i/>
          <w:sz w:val="24"/>
          <w:szCs w:val="24"/>
          <w:lang w:val="en-US"/>
        </w:rPr>
        <w:t xml:space="preserve">Mean proportion of </w:t>
      </w:r>
      <w:r w:rsidR="00CE0E83">
        <w:rPr>
          <w:rFonts w:ascii="Calibri" w:hAnsi="Calibri"/>
          <w:b/>
          <w:i/>
          <w:sz w:val="24"/>
          <w:szCs w:val="24"/>
          <w:lang w:val="en-US"/>
        </w:rPr>
        <w:t xml:space="preserve">regulatory document </w:t>
      </w:r>
      <w:r w:rsidR="001D6A46" w:rsidRPr="001D6A46">
        <w:rPr>
          <w:rFonts w:ascii="Calibri" w:hAnsi="Calibri"/>
          <w:b/>
          <w:i/>
          <w:sz w:val="24"/>
          <w:szCs w:val="24"/>
          <w:lang w:val="en-US"/>
        </w:rPr>
        <w:t>work spent on the following groups of documents</w:t>
      </w:r>
    </w:p>
    <w:p w14:paraId="1489EC53" w14:textId="77777777" w:rsidR="00B01B4A" w:rsidRPr="001D6A46" w:rsidRDefault="00D81B6C">
      <w:pPr>
        <w:rPr>
          <w:rFonts w:ascii="Calibri" w:hAnsi="Calibri"/>
          <w:sz w:val="24"/>
          <w:szCs w:val="24"/>
          <w:lang w:val="en-US"/>
        </w:rPr>
      </w:pPr>
      <w:r w:rsidRPr="001D6A46">
        <w:rPr>
          <w:rFonts w:ascii="Calibri" w:hAnsi="Calibri"/>
          <w:noProof/>
          <w:sz w:val="24"/>
          <w:szCs w:val="24"/>
          <w:lang w:val="en-US"/>
        </w:rPr>
        <w:lastRenderedPageBreak/>
        <w:drawing>
          <wp:inline distT="0" distB="0" distL="0" distR="0" wp14:anchorId="18669F67" wp14:editId="33FDE598">
            <wp:extent cx="5760720" cy="3703320"/>
            <wp:effectExtent l="0" t="0" r="1143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3BEAF2" w14:textId="77777777" w:rsidR="00D81B6C" w:rsidRPr="001D6A46" w:rsidRDefault="00D81B6C">
      <w:pPr>
        <w:rPr>
          <w:rFonts w:ascii="Calibri" w:hAnsi="Calibri"/>
          <w:sz w:val="24"/>
          <w:szCs w:val="24"/>
          <w:lang w:val="en-US"/>
        </w:rPr>
      </w:pPr>
    </w:p>
    <w:p w14:paraId="37B101A2" w14:textId="77777777" w:rsidR="00D81B6C" w:rsidRPr="001D6A46" w:rsidRDefault="001D6A46">
      <w:pPr>
        <w:rPr>
          <w:rFonts w:ascii="Calibri" w:hAnsi="Calibri"/>
          <w:b/>
          <w:i/>
          <w:sz w:val="24"/>
          <w:szCs w:val="24"/>
          <w:lang w:val="en-US"/>
        </w:rPr>
      </w:pPr>
      <w:r>
        <w:rPr>
          <w:rFonts w:ascii="Calibri" w:hAnsi="Calibri"/>
          <w:b/>
          <w:i/>
          <w:sz w:val="24"/>
          <w:szCs w:val="24"/>
          <w:lang w:val="en-US"/>
        </w:rPr>
        <w:t>Mean proportion of work by source</w:t>
      </w:r>
    </w:p>
    <w:p w14:paraId="1C9874C7" w14:textId="77777777" w:rsidR="00D81B6C" w:rsidRPr="001D6A46" w:rsidRDefault="00D81B6C">
      <w:pPr>
        <w:rPr>
          <w:rFonts w:ascii="Calibri" w:hAnsi="Calibri"/>
          <w:sz w:val="24"/>
          <w:szCs w:val="24"/>
          <w:lang w:val="en-US"/>
        </w:rPr>
      </w:pPr>
      <w:r w:rsidRPr="001D6A46">
        <w:rPr>
          <w:rFonts w:ascii="Calibri" w:hAnsi="Calibri"/>
          <w:noProof/>
          <w:sz w:val="24"/>
          <w:szCs w:val="24"/>
          <w:lang w:val="en-US"/>
        </w:rPr>
        <w:drawing>
          <wp:inline distT="0" distB="0" distL="0" distR="0" wp14:anchorId="2E5DD462" wp14:editId="60A9771C">
            <wp:extent cx="5670376" cy="4068763"/>
            <wp:effectExtent l="0" t="0" r="6985" b="82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C4B05D" w14:textId="77777777" w:rsidR="00D81B6C" w:rsidRPr="001D6A46" w:rsidRDefault="00D81B6C">
      <w:pPr>
        <w:rPr>
          <w:rFonts w:ascii="Calibri" w:hAnsi="Calibri"/>
          <w:sz w:val="24"/>
          <w:szCs w:val="24"/>
          <w:lang w:val="en-US"/>
        </w:rPr>
      </w:pPr>
    </w:p>
    <w:p w14:paraId="57AEB0DB" w14:textId="77777777" w:rsidR="00D81B6C" w:rsidRPr="001D6A46" w:rsidRDefault="00D81B6C">
      <w:pPr>
        <w:rPr>
          <w:rFonts w:ascii="Calibri" w:hAnsi="Calibri"/>
          <w:b/>
          <w:sz w:val="28"/>
          <w:szCs w:val="28"/>
          <w:lang w:val="en-US"/>
        </w:rPr>
      </w:pPr>
      <w:r w:rsidRPr="001D6A46">
        <w:rPr>
          <w:rFonts w:ascii="Calibri" w:hAnsi="Calibri"/>
          <w:b/>
          <w:sz w:val="28"/>
          <w:szCs w:val="28"/>
          <w:lang w:val="en-US"/>
        </w:rPr>
        <w:lastRenderedPageBreak/>
        <w:t>Conclusions</w:t>
      </w:r>
    </w:p>
    <w:p w14:paraId="63C3AFED" w14:textId="77777777" w:rsidR="00AB73A5" w:rsidRPr="001D6A46" w:rsidRDefault="001D6A46" w:rsidP="00D81B6C">
      <w:pPr>
        <w:pStyle w:val="ListParagraph"/>
        <w:numPr>
          <w:ilvl w:val="0"/>
          <w:numId w:val="4"/>
        </w:numPr>
        <w:rPr>
          <w:rFonts w:ascii="Calibri" w:hAnsi="Calibri"/>
          <w:lang w:val="en-US"/>
        </w:rPr>
      </w:pPr>
      <w:r w:rsidRPr="001D6A46">
        <w:rPr>
          <w:rFonts w:ascii="Calibri" w:eastAsiaTheme="minorEastAsia" w:hAnsi="Calibri"/>
          <w:lang w:val="en-US"/>
        </w:rPr>
        <w:t xml:space="preserve">Two-thirds of our </w:t>
      </w:r>
      <w:r w:rsidR="00D81B6C" w:rsidRPr="001D6A46">
        <w:rPr>
          <w:rFonts w:ascii="Calibri" w:eastAsiaTheme="minorEastAsia" w:hAnsi="Calibri"/>
          <w:lang w:val="en-US"/>
        </w:rPr>
        <w:t xml:space="preserve">freelance </w:t>
      </w:r>
      <w:r w:rsidRPr="001D6A46">
        <w:rPr>
          <w:rFonts w:ascii="Calibri" w:eastAsiaTheme="minorEastAsia" w:hAnsi="Calibri"/>
          <w:lang w:val="en-US"/>
        </w:rPr>
        <w:t>respondents spend more than half of their working time on regulatory documents</w:t>
      </w:r>
      <w:r w:rsidR="00CE0E83">
        <w:rPr>
          <w:rFonts w:ascii="Calibri" w:eastAsiaTheme="minorEastAsia" w:hAnsi="Calibri"/>
          <w:lang w:val="en-US"/>
        </w:rPr>
        <w:t>.</w:t>
      </w:r>
    </w:p>
    <w:p w14:paraId="6541064A" w14:textId="77777777" w:rsidR="00AB73A5" w:rsidRPr="001D6A46" w:rsidRDefault="001D6A46" w:rsidP="00D81B6C">
      <w:pPr>
        <w:pStyle w:val="ListParagraph"/>
        <w:numPr>
          <w:ilvl w:val="0"/>
          <w:numId w:val="4"/>
        </w:numPr>
        <w:rPr>
          <w:rFonts w:ascii="Calibri" w:hAnsi="Calibri"/>
          <w:lang w:val="en-US"/>
        </w:rPr>
      </w:pPr>
      <w:r w:rsidRPr="001D6A46">
        <w:rPr>
          <w:rFonts w:ascii="Calibri" w:eastAsiaTheme="minorEastAsia" w:hAnsi="Calibri"/>
          <w:lang w:val="en-US"/>
        </w:rPr>
        <w:t>‘Sensitive’</w:t>
      </w:r>
      <w:r w:rsidR="00D81B6C" w:rsidRPr="001D6A46">
        <w:rPr>
          <w:rFonts w:ascii="Calibri" w:eastAsiaTheme="minorEastAsia" w:hAnsi="Calibri"/>
          <w:lang w:val="en-US"/>
        </w:rPr>
        <w:t>*</w:t>
      </w:r>
      <w:r w:rsidRPr="001D6A46">
        <w:rPr>
          <w:rFonts w:ascii="Calibri" w:eastAsiaTheme="minorEastAsia" w:hAnsi="Calibri"/>
          <w:lang w:val="en-US"/>
        </w:rPr>
        <w:t xml:space="preserve"> regulatory documentation accounts for more than half of the regulatory work done by our </w:t>
      </w:r>
      <w:r w:rsidR="00D81B6C" w:rsidRPr="001D6A46">
        <w:rPr>
          <w:rFonts w:ascii="Calibri" w:eastAsiaTheme="minorEastAsia" w:hAnsi="Calibri"/>
          <w:lang w:val="en-US"/>
        </w:rPr>
        <w:t xml:space="preserve">freelance </w:t>
      </w:r>
      <w:r w:rsidRPr="001D6A46">
        <w:rPr>
          <w:rFonts w:ascii="Calibri" w:eastAsiaTheme="minorEastAsia" w:hAnsi="Calibri"/>
          <w:lang w:val="en-US"/>
        </w:rPr>
        <w:t>respondents</w:t>
      </w:r>
      <w:r w:rsidR="00CE0E83">
        <w:rPr>
          <w:rFonts w:ascii="Calibri" w:eastAsiaTheme="minorEastAsia" w:hAnsi="Calibri"/>
          <w:lang w:val="en-US"/>
        </w:rPr>
        <w:t>.</w:t>
      </w:r>
    </w:p>
    <w:p w14:paraId="0A9B3401" w14:textId="77777777" w:rsidR="00AB73A5" w:rsidRPr="001D6A46" w:rsidRDefault="001D6A46" w:rsidP="00D81B6C">
      <w:pPr>
        <w:pStyle w:val="ListParagraph"/>
        <w:numPr>
          <w:ilvl w:val="0"/>
          <w:numId w:val="4"/>
        </w:numPr>
        <w:rPr>
          <w:rFonts w:ascii="Calibri" w:hAnsi="Calibri"/>
          <w:lang w:val="en-US"/>
        </w:rPr>
      </w:pPr>
      <w:r w:rsidRPr="001D6A46">
        <w:rPr>
          <w:rFonts w:ascii="Calibri" w:eastAsiaTheme="minorEastAsia" w:hAnsi="Calibri"/>
          <w:lang w:val="en-US"/>
        </w:rPr>
        <w:t xml:space="preserve">Big pharma and CROs supply more than half of the regulatory work done by our </w:t>
      </w:r>
      <w:r w:rsidR="00D81B6C" w:rsidRPr="001D6A46">
        <w:rPr>
          <w:rFonts w:ascii="Calibri" w:eastAsiaTheme="minorEastAsia" w:hAnsi="Calibri"/>
          <w:lang w:val="en-US"/>
        </w:rPr>
        <w:t xml:space="preserve">freelance </w:t>
      </w:r>
      <w:r w:rsidRPr="001D6A46">
        <w:rPr>
          <w:rFonts w:ascii="Calibri" w:eastAsiaTheme="minorEastAsia" w:hAnsi="Calibri"/>
          <w:lang w:val="en-US"/>
        </w:rPr>
        <w:t>respondents</w:t>
      </w:r>
      <w:r w:rsidR="00CE0E83">
        <w:rPr>
          <w:rFonts w:ascii="Calibri" w:eastAsiaTheme="minorEastAsia" w:hAnsi="Calibri"/>
          <w:lang w:val="en-US"/>
        </w:rPr>
        <w:t>.</w:t>
      </w:r>
    </w:p>
    <w:p w14:paraId="7F26CC26" w14:textId="77777777" w:rsidR="00D81B6C" w:rsidRPr="001D6A46" w:rsidRDefault="00D81B6C" w:rsidP="00D81B6C">
      <w:pPr>
        <w:pStyle w:val="ListParagraph"/>
        <w:numPr>
          <w:ilvl w:val="0"/>
          <w:numId w:val="4"/>
        </w:numPr>
        <w:rPr>
          <w:rFonts w:ascii="Calibri" w:hAnsi="Calibri"/>
          <w:lang w:val="en-US"/>
        </w:rPr>
      </w:pPr>
      <w:r w:rsidRPr="001D6A46">
        <w:rPr>
          <w:rFonts w:ascii="Calibri" w:eastAsiaTheme="minorEastAsia" w:hAnsi="Calibri"/>
          <w:lang w:val="en-US"/>
        </w:rPr>
        <w:t>We should take account of this in the Freelance Business Surveys</w:t>
      </w:r>
      <w:r w:rsidR="00CE0E83">
        <w:rPr>
          <w:rFonts w:ascii="Calibri" w:eastAsiaTheme="minorEastAsia" w:hAnsi="Calibri"/>
          <w:lang w:val="en-US"/>
        </w:rPr>
        <w:t>.</w:t>
      </w:r>
    </w:p>
    <w:p w14:paraId="0E72BA14" w14:textId="77777777" w:rsidR="00D81B6C" w:rsidRPr="001D6A46" w:rsidRDefault="00D81B6C">
      <w:pPr>
        <w:rPr>
          <w:rFonts w:ascii="Calibri" w:hAnsi="Calibri"/>
          <w:sz w:val="24"/>
          <w:szCs w:val="24"/>
          <w:lang w:val="en-US"/>
        </w:rPr>
      </w:pPr>
    </w:p>
    <w:p w14:paraId="625956DF" w14:textId="007FB830" w:rsidR="00D81B6C" w:rsidRPr="001D6A46" w:rsidRDefault="001D6A46" w:rsidP="001D6A46">
      <w:pPr>
        <w:tabs>
          <w:tab w:val="left" w:pos="284"/>
        </w:tabs>
        <w:ind w:left="284" w:hanging="284"/>
        <w:rPr>
          <w:rFonts w:ascii="Calibri" w:hAnsi="Calibri"/>
          <w:sz w:val="24"/>
          <w:szCs w:val="24"/>
          <w:lang w:val="en-US"/>
        </w:rPr>
      </w:pPr>
      <w:r w:rsidRPr="001D6A46">
        <w:rPr>
          <w:rFonts w:ascii="Calibri" w:hAnsi="Calibri"/>
          <w:sz w:val="24"/>
          <w:szCs w:val="24"/>
          <w:lang w:val="en-US"/>
        </w:rPr>
        <w:t>*</w:t>
      </w:r>
      <w:r w:rsidRPr="001D6A46">
        <w:rPr>
          <w:rFonts w:ascii="Calibri" w:hAnsi="Calibri"/>
          <w:sz w:val="24"/>
          <w:szCs w:val="24"/>
          <w:lang w:val="en-US"/>
        </w:rPr>
        <w:tab/>
      </w:r>
      <w:r w:rsidR="00D81B6C" w:rsidRPr="001D6A46">
        <w:rPr>
          <w:rFonts w:ascii="Calibri" w:hAnsi="Calibri"/>
          <w:sz w:val="24"/>
          <w:szCs w:val="24"/>
          <w:lang w:val="en-US"/>
        </w:rPr>
        <w:t xml:space="preserve">For example, </w:t>
      </w:r>
      <w:r w:rsidR="00604FA1">
        <w:rPr>
          <w:rFonts w:ascii="Calibri" w:hAnsi="Calibri"/>
          <w:sz w:val="24"/>
          <w:szCs w:val="24"/>
          <w:lang w:val="en-US"/>
        </w:rPr>
        <w:t>s</w:t>
      </w:r>
      <w:r w:rsidRPr="001D6A46">
        <w:rPr>
          <w:rFonts w:ascii="Calibri" w:hAnsi="Calibri"/>
          <w:sz w:val="24"/>
          <w:szCs w:val="24"/>
          <w:lang w:val="en-US"/>
        </w:rPr>
        <w:t xml:space="preserve">ummary documents for submission, </w:t>
      </w:r>
      <w:r w:rsidR="00D81B6C" w:rsidRPr="001D6A46">
        <w:rPr>
          <w:rFonts w:ascii="Calibri" w:hAnsi="Calibri"/>
          <w:sz w:val="24"/>
          <w:szCs w:val="24"/>
          <w:lang w:val="en-US"/>
        </w:rPr>
        <w:t xml:space="preserve">PBRERs, PSURs, RMPs, </w:t>
      </w:r>
      <w:r w:rsidRPr="001D6A46">
        <w:rPr>
          <w:rFonts w:ascii="Calibri" w:hAnsi="Calibri"/>
          <w:sz w:val="24"/>
          <w:szCs w:val="24"/>
          <w:lang w:val="en-US"/>
        </w:rPr>
        <w:t>variations, and responses to authorities</w:t>
      </w:r>
    </w:p>
    <w:sectPr w:rsidR="00D81B6C" w:rsidRPr="001D6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1A3D"/>
    <w:multiLevelType w:val="hybridMultilevel"/>
    <w:tmpl w:val="80B62DDE"/>
    <w:lvl w:ilvl="0" w:tplc="120E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AE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E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2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5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E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0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58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4A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A1573BD"/>
    <w:multiLevelType w:val="hybridMultilevel"/>
    <w:tmpl w:val="DCD6AFD6"/>
    <w:lvl w:ilvl="0" w:tplc="3686F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A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43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C8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A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4F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C8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A1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C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39102E"/>
    <w:multiLevelType w:val="hybridMultilevel"/>
    <w:tmpl w:val="CCBCD2F8"/>
    <w:lvl w:ilvl="0" w:tplc="26E46B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D68C3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526C7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E69C1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88706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9A1BE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7CCDF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4613F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A4E9A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7E5F4BD0"/>
    <w:multiLevelType w:val="hybridMultilevel"/>
    <w:tmpl w:val="3B2200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4A"/>
    <w:rsid w:val="00173FFA"/>
    <w:rsid w:val="001D6A46"/>
    <w:rsid w:val="002F0C9E"/>
    <w:rsid w:val="003D78C3"/>
    <w:rsid w:val="005064C1"/>
    <w:rsid w:val="00604FA1"/>
    <w:rsid w:val="00AB73A5"/>
    <w:rsid w:val="00B01B4A"/>
    <w:rsid w:val="00CE0E83"/>
    <w:rsid w:val="00D81B6C"/>
    <w:rsid w:val="00E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5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E0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E0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stair\Desktop\Copy%20of%20SurveySummary%2031%20October%202014%20Calculation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istair\Desktop\Copy%20of%20SurveySummary%2031%20October%202014%20Calculation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'Question 2'!$B$103:$B$106</c:f>
              <c:strCache>
                <c:ptCount val="4"/>
                <c:pt idx="0">
                  <c:v>Other regulatory documents, such as PBRERs, variations, and responses to authority questions</c:v>
                </c:pt>
                <c:pt idx="1">
                  <c:v>All other non-protocol-related documents and clinical study reports</c:v>
                </c:pt>
                <c:pt idx="2">
                  <c:v>Preparatory documents for clinical and nonclinical trials, including study protocols</c:v>
                </c:pt>
                <c:pt idx="3">
                  <c:v>Summary documents for submission</c:v>
                </c:pt>
              </c:strCache>
            </c:strRef>
          </c:cat>
          <c:val>
            <c:numRef>
              <c:f>'Question 2'!$C$103:$C$106</c:f>
              <c:numCache>
                <c:formatCode>0%</c:formatCode>
                <c:ptCount val="4"/>
                <c:pt idx="0">
                  <c:v>0.1</c:v>
                </c:pt>
                <c:pt idx="1">
                  <c:v>0.41</c:v>
                </c:pt>
                <c:pt idx="2">
                  <c:v>0.23</c:v>
                </c:pt>
                <c:pt idx="3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352896"/>
        <c:axId val="94060544"/>
      </c:barChart>
      <c:catAx>
        <c:axId val="134352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60544"/>
        <c:crosses val="autoZero"/>
        <c:auto val="1"/>
        <c:lblAlgn val="ctr"/>
        <c:lblOffset val="100"/>
        <c:noMultiLvlLbl val="0"/>
      </c:catAx>
      <c:valAx>
        <c:axId val="94060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352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'Question 3'!$B$106:$B$110</c:f>
              <c:strCache>
                <c:ptCount val="5"/>
                <c:pt idx="0">
                  <c:v>CROs</c:v>
                </c:pt>
                <c:pt idx="1">
                  <c:v>Any other sponsor</c:v>
                </c:pt>
                <c:pt idx="2">
                  <c:v>Medical device companies</c:v>
                </c:pt>
                <c:pt idx="3">
                  <c:v>Generic companies</c:v>
                </c:pt>
                <c:pt idx="4">
                  <c:v>Big Pharma</c:v>
                </c:pt>
              </c:strCache>
            </c:strRef>
          </c:cat>
          <c:val>
            <c:numRef>
              <c:f>'Question 3'!$C$106:$C$110</c:f>
              <c:numCache>
                <c:formatCode>0%</c:formatCode>
                <c:ptCount val="5"/>
                <c:pt idx="0">
                  <c:v>0.31</c:v>
                </c:pt>
                <c:pt idx="1">
                  <c:v>0.05</c:v>
                </c:pt>
                <c:pt idx="2">
                  <c:v>0.13</c:v>
                </c:pt>
                <c:pt idx="3">
                  <c:v>0.08</c:v>
                </c:pt>
                <c:pt idx="4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067328"/>
        <c:axId val="94069120"/>
      </c:barChart>
      <c:catAx>
        <c:axId val="94067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69120"/>
        <c:crosses val="autoZero"/>
        <c:auto val="1"/>
        <c:lblAlgn val="ctr"/>
        <c:lblOffset val="100"/>
        <c:noMultiLvlLbl val="0"/>
      </c:catAx>
      <c:valAx>
        <c:axId val="94069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6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9F5E990D.dotm</Template>
  <TotalTime>0</TotalTime>
  <Pages>3</Pages>
  <Words>269</Words>
  <Characters>1207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 Foundation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Reeves</dc:creator>
  <cp:lastModifiedBy>ddefaoit</cp:lastModifiedBy>
  <cp:revision>2</cp:revision>
  <dcterms:created xsi:type="dcterms:W3CDTF">2015-02-06T08:14:00Z</dcterms:created>
  <dcterms:modified xsi:type="dcterms:W3CDTF">2015-02-06T08:14:00Z</dcterms:modified>
</cp:coreProperties>
</file>